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CF3E2" w14:textId="77777777" w:rsidR="004E3E18" w:rsidRPr="00297961" w:rsidRDefault="004E3E18" w:rsidP="00F369AF">
      <w:pPr>
        <w:spacing w:line="480" w:lineRule="auto"/>
        <w:ind w:firstLine="720"/>
        <w:jc w:val="center"/>
        <w:rPr>
          <w:rFonts w:ascii="Times New Roman" w:hAnsi="Times New Roman" w:cs="Times New Roman"/>
          <w:b/>
          <w:bCs/>
          <w:color w:val="000000" w:themeColor="text1"/>
          <w:sz w:val="24"/>
          <w:szCs w:val="24"/>
        </w:rPr>
      </w:pPr>
    </w:p>
    <w:p w14:paraId="73311C47" w14:textId="77777777" w:rsidR="004E3E18" w:rsidRPr="00297961" w:rsidRDefault="004E3E18" w:rsidP="00F369AF">
      <w:pPr>
        <w:spacing w:line="480" w:lineRule="auto"/>
        <w:ind w:firstLine="720"/>
        <w:jc w:val="center"/>
        <w:rPr>
          <w:rFonts w:ascii="Times New Roman" w:hAnsi="Times New Roman" w:cs="Times New Roman"/>
          <w:b/>
          <w:bCs/>
          <w:color w:val="000000" w:themeColor="text1"/>
          <w:sz w:val="24"/>
          <w:szCs w:val="24"/>
        </w:rPr>
      </w:pPr>
    </w:p>
    <w:p w14:paraId="08EEE126" w14:textId="77777777" w:rsidR="004E3E18" w:rsidRPr="00297961" w:rsidRDefault="004E3E18" w:rsidP="00F369AF">
      <w:pPr>
        <w:spacing w:line="480" w:lineRule="auto"/>
        <w:ind w:firstLine="720"/>
        <w:jc w:val="center"/>
        <w:rPr>
          <w:rFonts w:ascii="Times New Roman" w:hAnsi="Times New Roman" w:cs="Times New Roman"/>
          <w:b/>
          <w:bCs/>
          <w:color w:val="000000" w:themeColor="text1"/>
          <w:sz w:val="24"/>
          <w:szCs w:val="24"/>
        </w:rPr>
      </w:pPr>
    </w:p>
    <w:p w14:paraId="6D867243" w14:textId="77777777" w:rsidR="004E3E18" w:rsidRPr="00297961" w:rsidRDefault="004E3E18" w:rsidP="00F369AF">
      <w:pPr>
        <w:spacing w:line="480" w:lineRule="auto"/>
        <w:ind w:firstLine="720"/>
        <w:jc w:val="center"/>
        <w:rPr>
          <w:rFonts w:ascii="Times New Roman" w:hAnsi="Times New Roman" w:cs="Times New Roman"/>
          <w:b/>
          <w:bCs/>
          <w:color w:val="000000" w:themeColor="text1"/>
          <w:sz w:val="24"/>
          <w:szCs w:val="24"/>
        </w:rPr>
      </w:pPr>
    </w:p>
    <w:p w14:paraId="29884EC5" w14:textId="77777777" w:rsidR="004E3E18" w:rsidRPr="00297961" w:rsidRDefault="004E3E18" w:rsidP="00F369AF">
      <w:pPr>
        <w:spacing w:line="480" w:lineRule="auto"/>
        <w:ind w:firstLine="720"/>
        <w:jc w:val="center"/>
        <w:rPr>
          <w:rFonts w:ascii="Times New Roman" w:hAnsi="Times New Roman" w:cs="Times New Roman"/>
          <w:b/>
          <w:bCs/>
          <w:color w:val="000000" w:themeColor="text1"/>
          <w:sz w:val="24"/>
          <w:szCs w:val="24"/>
        </w:rPr>
      </w:pPr>
    </w:p>
    <w:p w14:paraId="2FB270EF" w14:textId="77777777" w:rsidR="004E3E18" w:rsidRPr="00297961" w:rsidRDefault="004E3E18" w:rsidP="00F369AF">
      <w:pPr>
        <w:spacing w:line="480" w:lineRule="auto"/>
        <w:ind w:firstLine="720"/>
        <w:jc w:val="center"/>
        <w:rPr>
          <w:rFonts w:ascii="Times New Roman" w:hAnsi="Times New Roman" w:cs="Times New Roman"/>
          <w:b/>
          <w:bCs/>
          <w:color w:val="000000" w:themeColor="text1"/>
          <w:sz w:val="24"/>
          <w:szCs w:val="24"/>
        </w:rPr>
      </w:pPr>
    </w:p>
    <w:p w14:paraId="72A0D709" w14:textId="77777777" w:rsidR="004E3E18" w:rsidRPr="00297961" w:rsidRDefault="004E3E18" w:rsidP="00F369AF">
      <w:pPr>
        <w:spacing w:line="480" w:lineRule="auto"/>
        <w:ind w:firstLine="720"/>
        <w:jc w:val="center"/>
        <w:rPr>
          <w:rFonts w:ascii="Times New Roman" w:hAnsi="Times New Roman" w:cs="Times New Roman"/>
          <w:b/>
          <w:bCs/>
          <w:color w:val="000000" w:themeColor="text1"/>
          <w:sz w:val="24"/>
          <w:szCs w:val="24"/>
        </w:rPr>
      </w:pPr>
    </w:p>
    <w:p w14:paraId="344AC8D9" w14:textId="77777777" w:rsidR="004E3E18" w:rsidRPr="00297961" w:rsidRDefault="004E3E18" w:rsidP="00F369AF">
      <w:pPr>
        <w:spacing w:line="480" w:lineRule="auto"/>
        <w:ind w:firstLine="720"/>
        <w:jc w:val="center"/>
        <w:rPr>
          <w:rFonts w:ascii="Times New Roman" w:hAnsi="Times New Roman" w:cs="Times New Roman"/>
          <w:b/>
          <w:bCs/>
          <w:color w:val="000000" w:themeColor="text1"/>
          <w:sz w:val="24"/>
          <w:szCs w:val="24"/>
        </w:rPr>
      </w:pPr>
    </w:p>
    <w:p w14:paraId="669EBE0B" w14:textId="77777777" w:rsidR="001A1C27" w:rsidRPr="00297961" w:rsidRDefault="001A1C27" w:rsidP="00F369AF">
      <w:pPr>
        <w:spacing w:line="480" w:lineRule="auto"/>
        <w:ind w:firstLine="720"/>
        <w:jc w:val="center"/>
        <w:rPr>
          <w:rFonts w:ascii="Times New Roman" w:hAnsi="Times New Roman" w:cs="Times New Roman"/>
          <w:b/>
          <w:bCs/>
          <w:color w:val="000000" w:themeColor="text1"/>
          <w:sz w:val="24"/>
          <w:szCs w:val="24"/>
        </w:rPr>
      </w:pPr>
      <w:r w:rsidRPr="00297961">
        <w:rPr>
          <w:rFonts w:ascii="Times New Roman" w:hAnsi="Times New Roman" w:cs="Times New Roman"/>
          <w:b/>
          <w:bCs/>
          <w:color w:val="000000" w:themeColor="text1"/>
          <w:sz w:val="24"/>
          <w:szCs w:val="24"/>
        </w:rPr>
        <w:t>Quality School Age Environment</w:t>
      </w:r>
    </w:p>
    <w:p w14:paraId="6D74FD4D" w14:textId="50F7C5B4" w:rsidR="004E3E18" w:rsidRPr="00297961" w:rsidRDefault="004E3E18" w:rsidP="00F369AF">
      <w:pPr>
        <w:spacing w:line="480" w:lineRule="auto"/>
        <w:ind w:firstLine="720"/>
        <w:jc w:val="center"/>
        <w:rPr>
          <w:rFonts w:ascii="Times New Roman" w:hAnsi="Times New Roman" w:cs="Times New Roman"/>
          <w:color w:val="000000" w:themeColor="text1"/>
          <w:sz w:val="24"/>
          <w:szCs w:val="24"/>
        </w:rPr>
      </w:pPr>
      <w:r w:rsidRPr="00297961">
        <w:rPr>
          <w:rFonts w:ascii="Times New Roman" w:hAnsi="Times New Roman" w:cs="Times New Roman"/>
          <w:color w:val="000000" w:themeColor="text1"/>
          <w:sz w:val="24"/>
          <w:szCs w:val="24"/>
        </w:rPr>
        <w:t>Name</w:t>
      </w:r>
    </w:p>
    <w:p w14:paraId="0790FA16" w14:textId="51CBFB98" w:rsidR="004E3E18" w:rsidRPr="00297961" w:rsidRDefault="004E3E18" w:rsidP="00F369AF">
      <w:pPr>
        <w:spacing w:line="480" w:lineRule="auto"/>
        <w:ind w:firstLine="720"/>
        <w:jc w:val="center"/>
        <w:rPr>
          <w:rFonts w:ascii="Times New Roman" w:hAnsi="Times New Roman" w:cs="Times New Roman"/>
          <w:color w:val="000000" w:themeColor="text1"/>
          <w:sz w:val="24"/>
          <w:szCs w:val="24"/>
        </w:rPr>
      </w:pPr>
      <w:r w:rsidRPr="00297961">
        <w:rPr>
          <w:rFonts w:ascii="Times New Roman" w:hAnsi="Times New Roman" w:cs="Times New Roman"/>
          <w:color w:val="000000" w:themeColor="text1"/>
          <w:sz w:val="24"/>
          <w:szCs w:val="24"/>
        </w:rPr>
        <w:t>Institution</w:t>
      </w:r>
    </w:p>
    <w:p w14:paraId="01424226" w14:textId="44F4BF97" w:rsidR="004E3E18" w:rsidRPr="00297961" w:rsidRDefault="004E3E18" w:rsidP="00F369AF">
      <w:pPr>
        <w:spacing w:line="480" w:lineRule="auto"/>
        <w:ind w:firstLine="720"/>
        <w:jc w:val="center"/>
        <w:rPr>
          <w:rFonts w:ascii="Times New Roman" w:hAnsi="Times New Roman" w:cs="Times New Roman"/>
          <w:color w:val="000000" w:themeColor="text1"/>
          <w:sz w:val="24"/>
          <w:szCs w:val="24"/>
        </w:rPr>
      </w:pPr>
      <w:r w:rsidRPr="00297961">
        <w:rPr>
          <w:rFonts w:ascii="Times New Roman" w:hAnsi="Times New Roman" w:cs="Times New Roman"/>
          <w:color w:val="000000" w:themeColor="text1"/>
          <w:sz w:val="24"/>
          <w:szCs w:val="24"/>
        </w:rPr>
        <w:t>Date</w:t>
      </w:r>
    </w:p>
    <w:p w14:paraId="5044F504" w14:textId="77777777" w:rsidR="004E3E18" w:rsidRPr="00297961" w:rsidRDefault="004E3E18" w:rsidP="00F369AF">
      <w:pPr>
        <w:spacing w:line="480" w:lineRule="auto"/>
        <w:ind w:firstLine="720"/>
        <w:rPr>
          <w:rFonts w:ascii="Times New Roman" w:hAnsi="Times New Roman" w:cs="Times New Roman"/>
          <w:color w:val="000000" w:themeColor="text1"/>
          <w:sz w:val="24"/>
          <w:szCs w:val="24"/>
        </w:rPr>
      </w:pPr>
    </w:p>
    <w:p w14:paraId="27E714DC" w14:textId="77777777" w:rsidR="004E3E18" w:rsidRPr="00297961" w:rsidRDefault="004E3E18" w:rsidP="00F369AF">
      <w:pPr>
        <w:spacing w:line="480" w:lineRule="auto"/>
        <w:ind w:firstLine="720"/>
        <w:rPr>
          <w:rFonts w:ascii="Times New Roman" w:hAnsi="Times New Roman" w:cs="Times New Roman"/>
          <w:color w:val="000000" w:themeColor="text1"/>
          <w:sz w:val="24"/>
          <w:szCs w:val="24"/>
        </w:rPr>
      </w:pPr>
    </w:p>
    <w:p w14:paraId="32E666CE" w14:textId="77777777" w:rsidR="004E3E18" w:rsidRPr="00297961" w:rsidRDefault="004E3E18" w:rsidP="00F369AF">
      <w:pPr>
        <w:spacing w:line="480" w:lineRule="auto"/>
        <w:ind w:firstLine="720"/>
        <w:rPr>
          <w:rFonts w:ascii="Times New Roman" w:hAnsi="Times New Roman" w:cs="Times New Roman"/>
          <w:color w:val="000000" w:themeColor="text1"/>
          <w:sz w:val="24"/>
          <w:szCs w:val="24"/>
        </w:rPr>
      </w:pPr>
    </w:p>
    <w:p w14:paraId="1ED22BF3" w14:textId="77777777" w:rsidR="004E3E18" w:rsidRPr="00297961" w:rsidRDefault="004E3E18" w:rsidP="00F369AF">
      <w:pPr>
        <w:spacing w:line="480" w:lineRule="auto"/>
        <w:ind w:firstLine="720"/>
        <w:rPr>
          <w:rFonts w:ascii="Times New Roman" w:hAnsi="Times New Roman" w:cs="Times New Roman"/>
          <w:color w:val="000000" w:themeColor="text1"/>
          <w:sz w:val="24"/>
          <w:szCs w:val="24"/>
        </w:rPr>
      </w:pPr>
    </w:p>
    <w:p w14:paraId="389923B5" w14:textId="77777777" w:rsidR="004E3E18" w:rsidRPr="00297961" w:rsidRDefault="004E3E18" w:rsidP="00F369AF">
      <w:pPr>
        <w:spacing w:line="480" w:lineRule="auto"/>
        <w:ind w:firstLine="720"/>
        <w:rPr>
          <w:rFonts w:ascii="Times New Roman" w:hAnsi="Times New Roman" w:cs="Times New Roman"/>
          <w:color w:val="000000" w:themeColor="text1"/>
          <w:sz w:val="24"/>
          <w:szCs w:val="24"/>
        </w:rPr>
      </w:pPr>
    </w:p>
    <w:p w14:paraId="0BA3BF54" w14:textId="77777777" w:rsidR="00483027" w:rsidRPr="00297961" w:rsidRDefault="00483027" w:rsidP="00F369AF">
      <w:pPr>
        <w:spacing w:line="480" w:lineRule="auto"/>
        <w:ind w:firstLine="720"/>
        <w:jc w:val="center"/>
        <w:rPr>
          <w:rFonts w:ascii="Times New Roman" w:hAnsi="Times New Roman" w:cs="Times New Roman"/>
          <w:color w:val="000000" w:themeColor="text1"/>
          <w:sz w:val="24"/>
          <w:szCs w:val="24"/>
        </w:rPr>
      </w:pPr>
    </w:p>
    <w:p w14:paraId="1BA677F6" w14:textId="030C0F97" w:rsidR="00483027" w:rsidRPr="00297961" w:rsidRDefault="004E3E18" w:rsidP="00F369AF">
      <w:pPr>
        <w:spacing w:line="480" w:lineRule="auto"/>
        <w:ind w:firstLine="720"/>
        <w:jc w:val="center"/>
        <w:rPr>
          <w:rFonts w:ascii="Times New Roman" w:hAnsi="Times New Roman" w:cs="Times New Roman"/>
          <w:b/>
          <w:bCs/>
          <w:color w:val="000000" w:themeColor="text1"/>
          <w:sz w:val="24"/>
          <w:szCs w:val="24"/>
        </w:rPr>
      </w:pPr>
      <w:r w:rsidRPr="00297961">
        <w:rPr>
          <w:rFonts w:ascii="Times New Roman" w:hAnsi="Times New Roman" w:cs="Times New Roman"/>
          <w:b/>
          <w:bCs/>
          <w:color w:val="000000" w:themeColor="text1"/>
          <w:sz w:val="24"/>
          <w:szCs w:val="24"/>
        </w:rPr>
        <w:lastRenderedPageBreak/>
        <w:t xml:space="preserve">Quality School </w:t>
      </w:r>
      <w:r w:rsidR="001A1C27" w:rsidRPr="00297961">
        <w:rPr>
          <w:rFonts w:ascii="Times New Roman" w:hAnsi="Times New Roman" w:cs="Times New Roman"/>
          <w:b/>
          <w:bCs/>
          <w:color w:val="000000" w:themeColor="text1"/>
          <w:sz w:val="24"/>
          <w:szCs w:val="24"/>
        </w:rPr>
        <w:t xml:space="preserve">Age </w:t>
      </w:r>
      <w:r w:rsidRPr="00297961">
        <w:rPr>
          <w:rFonts w:ascii="Times New Roman" w:hAnsi="Times New Roman" w:cs="Times New Roman"/>
          <w:b/>
          <w:bCs/>
          <w:color w:val="000000" w:themeColor="text1"/>
          <w:sz w:val="24"/>
          <w:szCs w:val="24"/>
        </w:rPr>
        <w:t>Environment</w:t>
      </w:r>
    </w:p>
    <w:p w14:paraId="1C9C7D9E" w14:textId="2B8EAD98" w:rsidR="00FB1438" w:rsidRPr="00297961" w:rsidRDefault="00FB1438" w:rsidP="00F369AF">
      <w:pPr>
        <w:spacing w:line="480" w:lineRule="auto"/>
        <w:ind w:firstLine="720"/>
        <w:jc w:val="center"/>
        <w:rPr>
          <w:rFonts w:ascii="Times New Roman" w:hAnsi="Times New Roman" w:cs="Times New Roman"/>
          <w:b/>
          <w:bCs/>
          <w:color w:val="000000" w:themeColor="text1"/>
          <w:sz w:val="24"/>
          <w:szCs w:val="24"/>
        </w:rPr>
      </w:pPr>
      <w:r w:rsidRPr="00297961">
        <w:rPr>
          <w:rFonts w:ascii="Times New Roman" w:hAnsi="Times New Roman" w:cs="Times New Roman"/>
          <w:b/>
          <w:bCs/>
          <w:color w:val="000000" w:themeColor="text1"/>
          <w:sz w:val="24"/>
          <w:szCs w:val="24"/>
        </w:rPr>
        <w:t>Introduction</w:t>
      </w:r>
    </w:p>
    <w:p w14:paraId="0C83D93F"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School-age serves as a firm basis for everyone’s educational journey, stretching from preschool until the present. Contemporary studies in the field of education have agreed on one fact that no matter how much education we have, we never stop learning. This assertion helps in gaining a perfect understanding of the fact that the journey of life can never be successful by just going to school as a routine. However, there is a growing need to draw growing attention not only to the importance of education in one’s life but also to the need for setting a high-quality school-age environment. According to psychologists, human beings are born tabula rasa, and hence establishing a good school age environment gives a chance for cognitive development. A quality school-age environment should be a welcoming, dynamic place that is rich in actions and resources as well as learning opportunities for kids, and it should entail well-established schedules and routines. The environment should also pay attention to the need for improved relationships and interactions of all individuals involved in the learning environment and these include children, teaching staff, parents, and the community at large. The indoor settings should be well furnished and well featured with other relevant learning materials, lighting, colors, and layouts that help to meet the educational needs of children in these core spaces. </w:t>
      </w:r>
    </w:p>
    <w:p w14:paraId="3931F1DF" w14:textId="77777777" w:rsidR="00F369AF" w:rsidRPr="00297961" w:rsidRDefault="00F369AF" w:rsidP="00F369AF">
      <w:pPr>
        <w:pStyle w:val="NormalWeb"/>
        <w:spacing w:before="0" w:beforeAutospacing="0" w:after="0" w:afterAutospacing="0" w:line="480" w:lineRule="auto"/>
        <w:jc w:val="center"/>
        <w:rPr>
          <w:color w:val="0E101A"/>
        </w:rPr>
      </w:pPr>
      <w:r w:rsidRPr="00297961">
        <w:rPr>
          <w:rStyle w:val="Strong"/>
          <w:color w:val="0E101A"/>
        </w:rPr>
        <w:t>Literature review</w:t>
      </w:r>
    </w:p>
    <w:p w14:paraId="4C18C364"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 xml:space="preserve">A positive school-age environment must have the most appropriate facilities, well-established classrooms, fully equipped school-based health supports, and fair disciplinary policy. In the context of the United States, there exists a variety of hallmarks of the academic, disciplinary physical environments of schools with strong support for children’s cognitive development. McCormack et al. (2018), the school environment is key to exposure to school-age </w:t>
      </w:r>
      <w:r w:rsidRPr="00297961">
        <w:rPr>
          <w:color w:val="0E101A"/>
        </w:rPr>
        <w:lastRenderedPageBreak/>
        <w:t>children. McCormack and colleagues argued that there was a need to understand the link between the school community, buildings, and the indoor environments, performance, and health of children (McCormack et al., 2018). The environmental conditions in schools are associated as well as the outdoor environment was related to the performance of students in schools. The main findings that the authors came up with was that the community and the school environments were associated with the academic achievements and attendance of students. According to Chu and his colleagues, the school physical environments and social environment were found to provide support for the physical activities of children in schools. The findings of their research showed that there was a direct relationship between the physical environment activity and the PE outcomes of the students (Chu et al., 2020). </w:t>
      </w:r>
    </w:p>
    <w:p w14:paraId="6D0CA2D3"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In the United States, children are mandated to join formal schooling at the age of 5. The U.S. education system is well patterned to suit every student’s cognitive abilities. </w:t>
      </w:r>
    </w:p>
    <w:p w14:paraId="18CF6E25"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At the elementary level, students are positioned in one classroom with the same teacher of the time. With successful completion of elementary school, students make it to middle school (junior high school). During this level, students would generally stay in the class for about 7 hours. The schools have general programs that allow families to choose on behalf of their children. Notably, these programs ought to be financed by the families. However, the school is mandated to provide safer transportation if the location of the learning grounds is different from the school grounds. </w:t>
      </w:r>
    </w:p>
    <w:p w14:paraId="68C12DB9"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 xml:space="preserve">According to Corsi-Bunker (2015), the United States bears one of the most improved elementary learning centers. Children at this level are attended by well enlightened elementary school teachers stretching from kindergarten through fifth grade. These teachers are held </w:t>
      </w:r>
      <w:r w:rsidRPr="00297961">
        <w:rPr>
          <w:color w:val="0E101A"/>
        </w:rPr>
        <w:lastRenderedPageBreak/>
        <w:t>responsible for the education and accurate emotional growth in a class setting, in addition to managing materials and resources used for educating them. </w:t>
      </w:r>
    </w:p>
    <w:p w14:paraId="5603F975"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Different authors have affirmed that teachers are the most critical resources that we have and we must have our school-age environments. As such, teachers continue to mentor, build, and nurture confidence in each student and also establish a positive view of the entire world and themselves (Milfont &amp; Denny, 2017). To improve the quality of school-age environments, there is a need for all stakeholders stretching from children to parents to teachers to the government to take positions. Such practice will pave the way for a well-developed learning environment for children. Teacher to student ratio should be revised to a manageable level. Elementary school teachers must uphold the need for patience, effective communication skills, problem-solving, as well as the ability to motivate kids to learn all those basic skills required for their development. </w:t>
      </w:r>
    </w:p>
    <w:p w14:paraId="7185E2E1" w14:textId="5770A06A"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 xml:space="preserve">According to Corsi-Bunker (2015), there are dominant challenges to the establishment of a quality school age environment. Studies have shown that about 20% of parents do not act as good role models to their children, an aspect that tends to lure children’s cognitive development. For instance, about 15% of the mothers who have school-aged kids use illicit drugs and they are not responsible enough. Herein, they tend to propagate alarming incidences that might lead to diseases and child abuse and neglect. Overview Research has shown that elementary education in the unites states has been made more successful by the increased emphasis on the need for good school age education over the past 100 years. Pieces of evidence have also affirmed that a quality school-age environment </w:t>
      </w:r>
      <w:r w:rsidRPr="00297961">
        <w:rPr>
          <w:color w:val="0E101A"/>
        </w:rPr>
        <w:t>possess</w:t>
      </w:r>
      <w:r w:rsidRPr="00297961">
        <w:rPr>
          <w:color w:val="0E101A"/>
        </w:rPr>
        <w:t xml:space="preserve"> positive influences on children’s physical growth as well as socialization abilities.  </w:t>
      </w:r>
    </w:p>
    <w:p w14:paraId="385DC8BA"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 xml:space="preserve">Different authors have also agreed that licensure occupies a central role in the acute presentation of the quality school-age environment. As such, it serves as a mark of </w:t>
      </w:r>
      <w:r w:rsidRPr="00297961">
        <w:rPr>
          <w:color w:val="0E101A"/>
        </w:rPr>
        <w:lastRenderedPageBreak/>
        <w:t>professionalism in all settings. Licensing comes out as the core standards recognized by employers as well as their clients as an assurance of dedication, skill, and quality (Zapletal, 2017). For that reason, the licensed dedicated space for schools paves the way for providers to create the most appropriate setting where students and other stakeholders can actively interact following rules and regulations when on the school premises. For that reason, children tend to benefit from dedicated homeschool space since everything sticks in one place, making it easier to keep track of books and get adequate time to do school homework.  </w:t>
      </w:r>
    </w:p>
    <w:p w14:paraId="00EA4C22"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Licensed shared space is another essential form of licensing that necessitates the accurate establishment of a quality school environment. It gives an option for schools to become part of the sharing land space with accurate consideration of the critical terms of multi-party interplay in negotiated terms, technologies, and operations as well. According to Zapletal (2017), school board programs occupy a central point in establishing quality school-age environments. The importance of school boards is that they work with their communities to improve student’s achievement in their local public schools. School boards make an effort to comply with state and federal laws to set policies in which their local schools are governed and operated. School boards strive to approve budgets, approve textbooks and other curriculum materials, and make certain decisions regarding the opening and closing of schools. </w:t>
      </w:r>
    </w:p>
    <w:p w14:paraId="37776F8C"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 xml:space="preserve">Odom and partners stated that for students with autism, the learning environment should be designed in a way that accommodates the needs of the students. Children with autism require special attention, and therefore certain modifications should be made in the school environments to help to cater to the special educational needs that the autistic students require (Odom et al., 2018). According to Shannon and fellow researchers, preschool, and kindergarten children with obesity face difficulties in their daily interaction in the learning institution. The nurses and other </w:t>
      </w:r>
      <w:r w:rsidRPr="00297961">
        <w:rPr>
          <w:color w:val="0E101A"/>
        </w:rPr>
        <w:lastRenderedPageBreak/>
        <w:t>healthcare practitioners in the elementary schools must ensure that they provide the healthcare services to the obese students to help in the management of their conditions and allow them to carry out their learning activities effectively (Powell, Engelke &amp; Swanson 2019). Muller and colleagues identify that the transportation systems to the school by students is part of the environment in schools. According to Müller, Mejia-Dorantes, and Kersten (2020), effective transportation systems help in increasing the well-being of students and endure their transport needs to school are catered for. </w:t>
      </w:r>
    </w:p>
    <w:p w14:paraId="7BFF145D"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According to research conducted by Khudadad, the learning environment of school-age children were directly related to the performance of the students in these elementary schools. The environmental factors stated by Khudadad that affect the performance of students include the availability of water supply in the school, availability of sanitation facilities, access to electricity, and adequate sitting space for the students (Khudadad, 2018). According to Milfont, the school environment influences the physical and emotional development of the student. A favorable environment ensures that children develop effectively while an unfavorable environment negatively affects the socio-cognitive development of school-age kids (Milfont &amp; Denny, 2017). According to Wang, both the psychological and emotional needs of children in elementary school need to be addressed. As stated by Wang, Tian &amp; Huebner (2019), teachers being a resource in the school environment are responsible for ensuring that the conditions are well discussed for the students. Tarun and his colleagues stated that physical activity is essential are children in school. According to Tarun et al., (2017) suggests that the outdoor environment of schools should be designed to meet the physical needs of the patients. According to Ickovics, a healthy school environment benefits the student. The wellness of schools is due to the policies set to guide the operations of the school (Ickovics, 2017).</w:t>
      </w:r>
    </w:p>
    <w:p w14:paraId="03BD3C89" w14:textId="77777777" w:rsidR="00F369AF" w:rsidRPr="00297961" w:rsidRDefault="00F369AF" w:rsidP="00F369AF">
      <w:pPr>
        <w:pStyle w:val="NormalWeb"/>
        <w:spacing w:before="0" w:beforeAutospacing="0" w:after="0" w:afterAutospacing="0" w:line="480" w:lineRule="auto"/>
        <w:ind w:firstLine="720"/>
        <w:jc w:val="center"/>
        <w:rPr>
          <w:color w:val="0E101A"/>
        </w:rPr>
      </w:pPr>
      <w:r w:rsidRPr="00297961">
        <w:rPr>
          <w:rStyle w:val="Strong"/>
          <w:color w:val="0E101A"/>
        </w:rPr>
        <w:lastRenderedPageBreak/>
        <w:t>Real Educators' Views</w:t>
      </w:r>
    </w:p>
    <w:p w14:paraId="0DC7F3EB" w14:textId="6D00C16C"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 xml:space="preserve">Real educators have different views concerning the quality school-age environment. According to educators, various challenges result in a low-quality school-age environment, and this challenges the quality of education and the likelihood of self-independences for the kids in their adulthood stage. Some of the challenges that the educators mention </w:t>
      </w:r>
      <w:r w:rsidRPr="00297961">
        <w:rPr>
          <w:color w:val="0E101A"/>
        </w:rPr>
        <w:t>includes</w:t>
      </w:r>
      <w:r w:rsidRPr="00297961">
        <w:rPr>
          <w:color w:val="0E101A"/>
        </w:rPr>
        <w:t xml:space="preserve"> lack of adequate funding programs to the elementary school institutions, having few and untrained teachers, and lack of learning resources, materials, and facilities. For that reason, elementary schools need funding to help in running the affiliated programs and activities. Lack of financing by schools therefore results in the inability of the schools to carry out their daily-to-daily activities of enhancing the education outcomes for the students (Harzer, Weber &amp; Huebner, 2017). Lack of funding is a sign of a low school environment. The shortage of enough teachers and qualified teachers to help in the teaching process of children is an issue in the development of a quality school-age environment. Lack of learning resources and environments have resulted in low-quality learning environments. Lack of resources such as classrooms, health clinics, and recreation facilities in schools is a challenge for an effective school environment. Students need help such as textbooks and other tools required for learning is an issue relating to the quality school-age environment.</w:t>
      </w:r>
    </w:p>
    <w:p w14:paraId="4AE52EED"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 xml:space="preserve">Real educators have also identified environmental factors that have helped to meet the needs of school-age children. Relationships, exercise, sleep, and nutrition are factors that contribute to the meeting of the needs of school-age children. Elementary school teachers must maintain the focus on the need for enlightening children on how to build relationships with their caregivers, teachers, and other students. Establishing relationships is effective in improving the educational outcomes of the patients. According to Harzer, Weber, and Huebner (2017), exercise </w:t>
      </w:r>
      <w:r w:rsidRPr="00297961">
        <w:rPr>
          <w:color w:val="0E101A"/>
        </w:rPr>
        <w:lastRenderedPageBreak/>
        <w:t>is another environmental requirement needed by children to help in their learning. Training is effective in helping to provide access to food and oxygen. Through exercise, the body can relax and therefore provide make the children ready for learning. Children need sleep to help in the relaxation of the brain to be prepared to process new information which can be a benefit in the learning process. </w:t>
      </w:r>
    </w:p>
    <w:p w14:paraId="5546088C"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Both the educator's opinion and the opinion from the literature review are similar in different ways. Both parties argue that a quality school-age environment is required in ensuring quality learning outcomes for students. Kindergarten students need a conducive environment from any distractions and an environment with the availability of resources to help in the education process. An effective learning environment offers a room for preschool and kindergarten school teachers to administer the best services to meet the expectations of the students (Chu et al., 2020). The literature review has identified that the school environment needs to be designed in a way that meets the educational needs of the children. The challenges identified by the educators should be considered, and the necessary measures are taken to help reduce them. To improve the learning environment in preschool and kindergarten schools, it is advisable to create a healthy environment with effective relationships in the learning facilities. Relationships will be led to a collaborative atmosphere. The internal and external environments of the preschool and kindergarten should be designed to meet the needs of the students, with close consideration of their capabilities, experiences, and linked needs. </w:t>
      </w:r>
    </w:p>
    <w:p w14:paraId="7AC2C383" w14:textId="77777777" w:rsidR="00F369AF" w:rsidRPr="00297961" w:rsidRDefault="00F369AF" w:rsidP="00F369AF">
      <w:pPr>
        <w:pStyle w:val="NormalWeb"/>
        <w:spacing w:before="0" w:beforeAutospacing="0" w:after="0" w:afterAutospacing="0" w:line="480" w:lineRule="auto"/>
        <w:ind w:firstLine="720"/>
        <w:jc w:val="center"/>
        <w:rPr>
          <w:color w:val="0E101A"/>
        </w:rPr>
      </w:pPr>
      <w:r w:rsidRPr="00297961">
        <w:rPr>
          <w:rStyle w:val="Strong"/>
          <w:color w:val="0E101A"/>
        </w:rPr>
        <w:t>Conclusion</w:t>
      </w:r>
    </w:p>
    <w:p w14:paraId="1CD384EF" w14:textId="77777777" w:rsidR="00F369AF" w:rsidRPr="00297961" w:rsidRDefault="00F369AF" w:rsidP="00F369AF">
      <w:pPr>
        <w:pStyle w:val="NormalWeb"/>
        <w:spacing w:before="0" w:beforeAutospacing="0" w:after="0" w:afterAutospacing="0" w:line="480" w:lineRule="auto"/>
        <w:ind w:firstLine="720"/>
        <w:rPr>
          <w:color w:val="0E101A"/>
        </w:rPr>
      </w:pPr>
      <w:r w:rsidRPr="00297961">
        <w:rPr>
          <w:color w:val="0E101A"/>
        </w:rPr>
        <w:t xml:space="preserve">An effective learning environment is necessary for improving the education outcomes for students stretching from preschool and kindergarten to tertiary levels. The school environment should be designed to cater to the needs of school-age students at all costs. Different researchers </w:t>
      </w:r>
      <w:r w:rsidRPr="00297961">
        <w:rPr>
          <w:color w:val="0E101A"/>
        </w:rPr>
        <w:lastRenderedPageBreak/>
        <w:t>have come up with different findings on different contributors to an effective learning environment. Real educators have identified different challenges encountered during the implementation of an effective school environment, which include lack of financing. Educators have also identified different factors that contribute to students' school environment, such as building relationships. Different techniques ought to be implemented to help improve the learning environments for preschool and kindergarten students. Ensuring an effective school environment will help improve the educational outcomes for students.</w:t>
      </w:r>
    </w:p>
    <w:p w14:paraId="4AF10F3A" w14:textId="77777777" w:rsidR="00EF3522"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25917CEA" w14:textId="77777777" w:rsidR="00EF3522"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7E609654" w14:textId="77777777" w:rsidR="00EF3522"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30601EA2" w14:textId="77777777" w:rsidR="00EF3522"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4A4FD085" w14:textId="77777777" w:rsidR="00EF3522"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4ACE7238" w14:textId="77777777" w:rsidR="00EF3522"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4BAE76DA" w14:textId="77777777" w:rsidR="00EF3522"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7F9C1FDE" w14:textId="77777777" w:rsidR="00EF3522"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701DF5D5" w14:textId="77777777" w:rsidR="00EF3522"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167D794A" w14:textId="77777777" w:rsidR="00EF3522"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0D7713E1" w14:textId="77777777" w:rsidR="00EF3522"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0A3B986B" w14:textId="26D23970" w:rsidR="00EF3522"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p>
    <w:p w14:paraId="69F23D00" w14:textId="77777777" w:rsidR="00297961" w:rsidRPr="00297961" w:rsidRDefault="00297961" w:rsidP="00F369AF">
      <w:pPr>
        <w:spacing w:line="480" w:lineRule="auto"/>
        <w:ind w:firstLine="720"/>
        <w:jc w:val="center"/>
        <w:rPr>
          <w:rFonts w:ascii="Times New Roman" w:hAnsi="Times New Roman" w:cs="Times New Roman"/>
          <w:b/>
          <w:bCs/>
          <w:color w:val="000000" w:themeColor="text1"/>
          <w:sz w:val="24"/>
          <w:szCs w:val="24"/>
          <w:shd w:val="clear" w:color="auto" w:fill="FFFFFF"/>
        </w:rPr>
      </w:pPr>
      <w:bookmarkStart w:id="0" w:name="_GoBack"/>
      <w:bookmarkEnd w:id="0"/>
    </w:p>
    <w:p w14:paraId="48EA6794" w14:textId="7B81A74F" w:rsidR="009042E5" w:rsidRPr="00297961" w:rsidRDefault="00EF3522" w:rsidP="00F369AF">
      <w:pPr>
        <w:spacing w:line="480" w:lineRule="auto"/>
        <w:ind w:firstLine="720"/>
        <w:jc w:val="center"/>
        <w:rPr>
          <w:rFonts w:ascii="Times New Roman" w:hAnsi="Times New Roman" w:cs="Times New Roman"/>
          <w:b/>
          <w:bCs/>
          <w:color w:val="000000" w:themeColor="text1"/>
          <w:sz w:val="24"/>
          <w:szCs w:val="24"/>
          <w:shd w:val="clear" w:color="auto" w:fill="FFFFFF"/>
        </w:rPr>
      </w:pPr>
      <w:r w:rsidRPr="00297961">
        <w:rPr>
          <w:rFonts w:ascii="Times New Roman" w:hAnsi="Times New Roman" w:cs="Times New Roman"/>
          <w:b/>
          <w:bCs/>
          <w:color w:val="000000" w:themeColor="text1"/>
          <w:sz w:val="24"/>
          <w:szCs w:val="24"/>
          <w:shd w:val="clear" w:color="auto" w:fill="FFFFFF"/>
        </w:rPr>
        <w:lastRenderedPageBreak/>
        <w:t>References</w:t>
      </w:r>
    </w:p>
    <w:p w14:paraId="19E617A6" w14:textId="300640D4" w:rsidR="00C06139" w:rsidRPr="00297961" w:rsidRDefault="00C06139" w:rsidP="00F369AF">
      <w:pPr>
        <w:spacing w:line="480" w:lineRule="auto"/>
        <w:ind w:left="720" w:hanging="720"/>
        <w:rPr>
          <w:rFonts w:ascii="Times New Roman" w:hAnsi="Times New Roman" w:cs="Times New Roman"/>
          <w:color w:val="000000" w:themeColor="text1"/>
          <w:sz w:val="24"/>
          <w:szCs w:val="24"/>
          <w:shd w:val="clear" w:color="auto" w:fill="FFFFFF"/>
        </w:rPr>
      </w:pPr>
      <w:r w:rsidRPr="00297961">
        <w:rPr>
          <w:rFonts w:ascii="Times New Roman" w:hAnsi="Times New Roman" w:cs="Times New Roman"/>
          <w:color w:val="000000" w:themeColor="text1"/>
          <w:sz w:val="24"/>
          <w:szCs w:val="24"/>
          <w:shd w:val="clear" w:color="auto" w:fill="FFFFFF"/>
        </w:rPr>
        <w:t>Chu, T. L. A., Zhang, T., Thomas, K. T., Zhang, X., &amp; Gu, X. (2020). School environments predict Hispanic children's physical education related outcomes through basic psychological need satisfaction. </w:t>
      </w:r>
      <w:r w:rsidRPr="00297961">
        <w:rPr>
          <w:rFonts w:ascii="Times New Roman" w:hAnsi="Times New Roman" w:cs="Times New Roman"/>
          <w:i/>
          <w:iCs/>
          <w:color w:val="000000" w:themeColor="text1"/>
          <w:sz w:val="24"/>
          <w:szCs w:val="24"/>
          <w:shd w:val="clear" w:color="auto" w:fill="FFFFFF"/>
        </w:rPr>
        <w:t>Learning and Individual Differences</w:t>
      </w:r>
      <w:r w:rsidRPr="00297961">
        <w:rPr>
          <w:rFonts w:ascii="Times New Roman" w:hAnsi="Times New Roman" w:cs="Times New Roman"/>
          <w:color w:val="000000" w:themeColor="text1"/>
          <w:sz w:val="24"/>
          <w:szCs w:val="24"/>
          <w:shd w:val="clear" w:color="auto" w:fill="FFFFFF"/>
        </w:rPr>
        <w:t>, </w:t>
      </w:r>
      <w:r w:rsidRPr="00297961">
        <w:rPr>
          <w:rFonts w:ascii="Times New Roman" w:hAnsi="Times New Roman" w:cs="Times New Roman"/>
          <w:i/>
          <w:iCs/>
          <w:color w:val="000000" w:themeColor="text1"/>
          <w:sz w:val="24"/>
          <w:szCs w:val="24"/>
          <w:shd w:val="clear" w:color="auto" w:fill="FFFFFF"/>
        </w:rPr>
        <w:t>80</w:t>
      </w:r>
      <w:r w:rsidRPr="00297961">
        <w:rPr>
          <w:rFonts w:ascii="Times New Roman" w:hAnsi="Times New Roman" w:cs="Times New Roman"/>
          <w:color w:val="000000" w:themeColor="text1"/>
          <w:sz w:val="24"/>
          <w:szCs w:val="24"/>
          <w:shd w:val="clear" w:color="auto" w:fill="FFFFFF"/>
        </w:rPr>
        <w:t>, 101844.</w:t>
      </w:r>
    </w:p>
    <w:p w14:paraId="7AF1D93B" w14:textId="4A5EB3CD" w:rsidR="0070486B" w:rsidRPr="00297961" w:rsidRDefault="0070486B" w:rsidP="00F369AF">
      <w:pPr>
        <w:spacing w:line="480" w:lineRule="auto"/>
        <w:ind w:left="720" w:hanging="720"/>
        <w:rPr>
          <w:rFonts w:ascii="Times New Roman" w:hAnsi="Times New Roman" w:cs="Times New Roman"/>
          <w:color w:val="000000" w:themeColor="text1"/>
          <w:sz w:val="24"/>
          <w:szCs w:val="24"/>
          <w:shd w:val="clear" w:color="auto" w:fill="FFFFFF"/>
        </w:rPr>
      </w:pPr>
      <w:r w:rsidRPr="00297961">
        <w:rPr>
          <w:rFonts w:ascii="Times New Roman" w:hAnsi="Times New Roman" w:cs="Times New Roman"/>
          <w:color w:val="222222"/>
          <w:sz w:val="24"/>
          <w:szCs w:val="24"/>
          <w:shd w:val="clear" w:color="auto" w:fill="FFFFFF"/>
        </w:rPr>
        <w:t>Corsi-Bunker, A. (2015). Guide to the education system in the United States. </w:t>
      </w:r>
      <w:r w:rsidRPr="00297961">
        <w:rPr>
          <w:rFonts w:ascii="Times New Roman" w:hAnsi="Times New Roman" w:cs="Times New Roman"/>
          <w:i/>
          <w:iCs/>
          <w:color w:val="222222"/>
          <w:sz w:val="24"/>
          <w:szCs w:val="24"/>
          <w:shd w:val="clear" w:color="auto" w:fill="FFFFFF"/>
        </w:rPr>
        <w:t>University of Minnesota, nd Web</w:t>
      </w:r>
      <w:r w:rsidRPr="00297961">
        <w:rPr>
          <w:rFonts w:ascii="Times New Roman" w:hAnsi="Times New Roman" w:cs="Times New Roman"/>
          <w:color w:val="222222"/>
          <w:sz w:val="24"/>
          <w:szCs w:val="24"/>
          <w:shd w:val="clear" w:color="auto" w:fill="FFFFFF"/>
        </w:rPr>
        <w:t>, </w:t>
      </w:r>
      <w:r w:rsidRPr="00297961">
        <w:rPr>
          <w:rFonts w:ascii="Times New Roman" w:hAnsi="Times New Roman" w:cs="Times New Roman"/>
          <w:i/>
          <w:iCs/>
          <w:color w:val="222222"/>
          <w:sz w:val="24"/>
          <w:szCs w:val="24"/>
          <w:shd w:val="clear" w:color="auto" w:fill="FFFFFF"/>
        </w:rPr>
        <w:t>23</w:t>
      </w:r>
      <w:r w:rsidRPr="00297961">
        <w:rPr>
          <w:rFonts w:ascii="Times New Roman" w:hAnsi="Times New Roman" w:cs="Times New Roman"/>
          <w:color w:val="222222"/>
          <w:sz w:val="24"/>
          <w:szCs w:val="24"/>
          <w:shd w:val="clear" w:color="auto" w:fill="FFFFFF"/>
        </w:rPr>
        <w:t>.</w:t>
      </w:r>
    </w:p>
    <w:p w14:paraId="2B260AA8" w14:textId="77777777" w:rsidR="00C06139" w:rsidRPr="00297961" w:rsidRDefault="00C06139" w:rsidP="00F369AF">
      <w:pPr>
        <w:spacing w:line="480" w:lineRule="auto"/>
        <w:ind w:left="720" w:hanging="720"/>
        <w:rPr>
          <w:rFonts w:ascii="Times New Roman" w:hAnsi="Times New Roman" w:cs="Times New Roman"/>
          <w:color w:val="000000" w:themeColor="text1"/>
          <w:sz w:val="24"/>
          <w:szCs w:val="24"/>
        </w:rPr>
      </w:pPr>
      <w:r w:rsidRPr="00297961">
        <w:rPr>
          <w:rFonts w:ascii="Times New Roman" w:hAnsi="Times New Roman" w:cs="Times New Roman"/>
          <w:color w:val="000000" w:themeColor="text1"/>
          <w:sz w:val="24"/>
          <w:szCs w:val="24"/>
          <w:shd w:val="clear" w:color="auto" w:fill="FFFFFF"/>
        </w:rPr>
        <w:t>Harzer, C., Weber, M., &amp; Huebner, E. S. (2017). School as a positive learning and working environment. In </w:t>
      </w:r>
      <w:r w:rsidRPr="00297961">
        <w:rPr>
          <w:rFonts w:ascii="Times New Roman" w:hAnsi="Times New Roman" w:cs="Times New Roman"/>
          <w:i/>
          <w:iCs/>
          <w:color w:val="000000" w:themeColor="text1"/>
          <w:sz w:val="24"/>
          <w:szCs w:val="24"/>
          <w:shd w:val="clear" w:color="auto" w:fill="FFFFFF"/>
        </w:rPr>
        <w:t>The Oxford Handbook of Positive Psychology, 3rd Edition</w:t>
      </w:r>
      <w:r w:rsidRPr="00297961">
        <w:rPr>
          <w:rFonts w:ascii="Times New Roman" w:hAnsi="Times New Roman" w:cs="Times New Roman"/>
          <w:color w:val="000000" w:themeColor="text1"/>
          <w:sz w:val="24"/>
          <w:szCs w:val="24"/>
          <w:shd w:val="clear" w:color="auto" w:fill="FFFFFF"/>
        </w:rPr>
        <w:t>.</w:t>
      </w:r>
    </w:p>
    <w:p w14:paraId="6D739037" w14:textId="77777777" w:rsidR="00C06139" w:rsidRPr="00297961" w:rsidRDefault="00C06139" w:rsidP="00F369AF">
      <w:pPr>
        <w:spacing w:line="480" w:lineRule="auto"/>
        <w:ind w:left="720" w:hanging="720"/>
        <w:rPr>
          <w:rFonts w:ascii="Times New Roman" w:hAnsi="Times New Roman" w:cs="Times New Roman"/>
          <w:color w:val="000000" w:themeColor="text1"/>
          <w:sz w:val="24"/>
          <w:szCs w:val="24"/>
          <w:shd w:val="clear" w:color="auto" w:fill="FFFFFF"/>
        </w:rPr>
      </w:pPr>
      <w:r w:rsidRPr="00297961">
        <w:rPr>
          <w:rFonts w:ascii="Times New Roman" w:hAnsi="Times New Roman" w:cs="Times New Roman"/>
          <w:color w:val="000000" w:themeColor="text1"/>
          <w:sz w:val="24"/>
          <w:szCs w:val="24"/>
          <w:shd w:val="clear" w:color="auto" w:fill="FFFFFF"/>
        </w:rPr>
        <w:t>Ickovics, J. R., Duffany, K. O. C., Shebl, F. M., Peters, S. M., Read, M. A., Gilstad-Hayden, K. R., &amp; Schwartz, M. B. (2019). Implementing school-based policies to prevent obesity: cluster randomized trial. </w:t>
      </w:r>
      <w:r w:rsidRPr="00297961">
        <w:rPr>
          <w:rFonts w:ascii="Times New Roman" w:hAnsi="Times New Roman" w:cs="Times New Roman"/>
          <w:i/>
          <w:iCs/>
          <w:color w:val="000000" w:themeColor="text1"/>
          <w:sz w:val="24"/>
          <w:szCs w:val="24"/>
          <w:shd w:val="clear" w:color="auto" w:fill="FFFFFF"/>
        </w:rPr>
        <w:t>American journal of preventive medicine</w:t>
      </w:r>
      <w:r w:rsidRPr="00297961">
        <w:rPr>
          <w:rFonts w:ascii="Times New Roman" w:hAnsi="Times New Roman" w:cs="Times New Roman"/>
          <w:color w:val="000000" w:themeColor="text1"/>
          <w:sz w:val="24"/>
          <w:szCs w:val="24"/>
          <w:shd w:val="clear" w:color="auto" w:fill="FFFFFF"/>
        </w:rPr>
        <w:t>, </w:t>
      </w:r>
      <w:r w:rsidRPr="00297961">
        <w:rPr>
          <w:rFonts w:ascii="Times New Roman" w:hAnsi="Times New Roman" w:cs="Times New Roman"/>
          <w:i/>
          <w:iCs/>
          <w:color w:val="000000" w:themeColor="text1"/>
          <w:sz w:val="24"/>
          <w:szCs w:val="24"/>
          <w:shd w:val="clear" w:color="auto" w:fill="FFFFFF"/>
        </w:rPr>
        <w:t>56</w:t>
      </w:r>
      <w:r w:rsidRPr="00297961">
        <w:rPr>
          <w:rFonts w:ascii="Times New Roman" w:hAnsi="Times New Roman" w:cs="Times New Roman"/>
          <w:color w:val="000000" w:themeColor="text1"/>
          <w:sz w:val="24"/>
          <w:szCs w:val="24"/>
          <w:shd w:val="clear" w:color="auto" w:fill="FFFFFF"/>
        </w:rPr>
        <w:t>(1), e1-e11.</w:t>
      </w:r>
    </w:p>
    <w:p w14:paraId="05708F3C" w14:textId="77777777" w:rsidR="00C06139" w:rsidRPr="00297961" w:rsidRDefault="00C06139" w:rsidP="00F369AF">
      <w:pPr>
        <w:spacing w:line="480" w:lineRule="auto"/>
        <w:ind w:left="720" w:hanging="720"/>
        <w:rPr>
          <w:rFonts w:ascii="Times New Roman" w:hAnsi="Times New Roman" w:cs="Times New Roman"/>
          <w:color w:val="000000" w:themeColor="text1"/>
          <w:sz w:val="24"/>
          <w:szCs w:val="24"/>
          <w:shd w:val="clear" w:color="auto" w:fill="FFFFFF"/>
        </w:rPr>
      </w:pPr>
      <w:r w:rsidRPr="00297961">
        <w:rPr>
          <w:rFonts w:ascii="Times New Roman" w:hAnsi="Times New Roman" w:cs="Times New Roman"/>
          <w:color w:val="000000" w:themeColor="text1"/>
          <w:sz w:val="24"/>
          <w:szCs w:val="24"/>
          <w:shd w:val="clear" w:color="auto" w:fill="FFFFFF"/>
        </w:rPr>
        <w:t>Khudadad, N. B. (2018). </w:t>
      </w:r>
      <w:r w:rsidRPr="00297961">
        <w:rPr>
          <w:rFonts w:ascii="Times New Roman" w:hAnsi="Times New Roman" w:cs="Times New Roman"/>
          <w:i/>
          <w:iCs/>
          <w:color w:val="000000" w:themeColor="text1"/>
          <w:sz w:val="24"/>
          <w:szCs w:val="24"/>
          <w:shd w:val="clear" w:color="auto" w:fill="FFFFFF"/>
        </w:rPr>
        <w:t>The Relationship between School Built Environment and Student Achievement in Pakistan</w:t>
      </w:r>
      <w:r w:rsidRPr="00297961">
        <w:rPr>
          <w:rFonts w:ascii="Times New Roman" w:hAnsi="Times New Roman" w:cs="Times New Roman"/>
          <w:color w:val="000000" w:themeColor="text1"/>
          <w:sz w:val="24"/>
          <w:szCs w:val="24"/>
          <w:shd w:val="clear" w:color="auto" w:fill="FFFFFF"/>
        </w:rPr>
        <w:t> (Doctoral dissertation, The University of North Carolina at Charlotte).</w:t>
      </w:r>
    </w:p>
    <w:p w14:paraId="4A33B103" w14:textId="77777777" w:rsidR="00C06139" w:rsidRPr="00297961" w:rsidRDefault="00C06139" w:rsidP="00F369AF">
      <w:pPr>
        <w:spacing w:line="480" w:lineRule="auto"/>
        <w:ind w:left="720" w:hanging="720"/>
        <w:rPr>
          <w:rFonts w:ascii="Times New Roman" w:hAnsi="Times New Roman" w:cs="Times New Roman"/>
          <w:color w:val="000000" w:themeColor="text1"/>
          <w:sz w:val="24"/>
          <w:szCs w:val="24"/>
          <w:shd w:val="clear" w:color="auto" w:fill="FFFFFF"/>
        </w:rPr>
      </w:pPr>
      <w:r w:rsidRPr="00297961">
        <w:rPr>
          <w:rFonts w:ascii="Times New Roman" w:hAnsi="Times New Roman" w:cs="Times New Roman"/>
          <w:color w:val="000000" w:themeColor="text1"/>
          <w:sz w:val="24"/>
          <w:szCs w:val="24"/>
          <w:shd w:val="clear" w:color="auto" w:fill="FFFFFF"/>
        </w:rPr>
        <w:t>McCormack, M., Connolly, F., Rule, A., Davis, M. F., Majd, E., Curriero, F., ... &amp; Koehler, K. (2018, September). School Environment, Indoor Air Quality, Student Performance and Health. In </w:t>
      </w:r>
      <w:r w:rsidRPr="00297961">
        <w:rPr>
          <w:rFonts w:ascii="Times New Roman" w:hAnsi="Times New Roman" w:cs="Times New Roman"/>
          <w:i/>
          <w:iCs/>
          <w:color w:val="000000" w:themeColor="text1"/>
          <w:sz w:val="24"/>
          <w:szCs w:val="24"/>
          <w:shd w:val="clear" w:color="auto" w:fill="FFFFFF"/>
        </w:rPr>
        <w:t>ISEE Conference Abstracts</w:t>
      </w:r>
      <w:r w:rsidRPr="00297961">
        <w:rPr>
          <w:rFonts w:ascii="Times New Roman" w:hAnsi="Times New Roman" w:cs="Times New Roman"/>
          <w:color w:val="000000" w:themeColor="text1"/>
          <w:sz w:val="24"/>
          <w:szCs w:val="24"/>
          <w:shd w:val="clear" w:color="auto" w:fill="FFFFFF"/>
        </w:rPr>
        <w:t>.</w:t>
      </w:r>
    </w:p>
    <w:p w14:paraId="3C1A8D1E" w14:textId="77777777" w:rsidR="00C06139" w:rsidRPr="00297961" w:rsidRDefault="00C06139" w:rsidP="00F369AF">
      <w:pPr>
        <w:spacing w:line="480" w:lineRule="auto"/>
        <w:ind w:left="720" w:hanging="720"/>
        <w:rPr>
          <w:rFonts w:ascii="Times New Roman" w:hAnsi="Times New Roman" w:cs="Times New Roman"/>
          <w:color w:val="000000" w:themeColor="text1"/>
          <w:sz w:val="24"/>
          <w:szCs w:val="24"/>
          <w:shd w:val="clear" w:color="auto" w:fill="FFFFFF"/>
        </w:rPr>
      </w:pPr>
      <w:r w:rsidRPr="00297961">
        <w:rPr>
          <w:rFonts w:ascii="Times New Roman" w:hAnsi="Times New Roman" w:cs="Times New Roman"/>
          <w:color w:val="000000" w:themeColor="text1"/>
          <w:sz w:val="24"/>
          <w:szCs w:val="24"/>
          <w:shd w:val="clear" w:color="auto" w:fill="FFFFFF"/>
        </w:rPr>
        <w:t>Milfont, T. L., &amp; Denny, S. J. (2017). Everyday environments and quality of life: Positive school and neighborhood environments influence the health and well-being of adolescents. In </w:t>
      </w:r>
      <w:r w:rsidRPr="00297961">
        <w:rPr>
          <w:rFonts w:ascii="Times New Roman" w:hAnsi="Times New Roman" w:cs="Times New Roman"/>
          <w:i/>
          <w:iCs/>
          <w:color w:val="000000" w:themeColor="text1"/>
          <w:sz w:val="24"/>
          <w:szCs w:val="24"/>
          <w:shd w:val="clear" w:color="auto" w:fill="FFFFFF"/>
        </w:rPr>
        <w:t>Handbook of environmental psychology and quality of life research</w:t>
      </w:r>
      <w:r w:rsidRPr="00297961">
        <w:rPr>
          <w:rFonts w:ascii="Times New Roman" w:hAnsi="Times New Roman" w:cs="Times New Roman"/>
          <w:color w:val="000000" w:themeColor="text1"/>
          <w:sz w:val="24"/>
          <w:szCs w:val="24"/>
          <w:shd w:val="clear" w:color="auto" w:fill="FFFFFF"/>
        </w:rPr>
        <w:t> (pp. 369-384). Springer, Cham.</w:t>
      </w:r>
    </w:p>
    <w:p w14:paraId="61A4873F" w14:textId="77777777" w:rsidR="00C06139" w:rsidRPr="00297961" w:rsidRDefault="00C06139" w:rsidP="00F369AF">
      <w:pPr>
        <w:spacing w:line="480" w:lineRule="auto"/>
        <w:ind w:left="720" w:hanging="720"/>
        <w:rPr>
          <w:rFonts w:ascii="Times New Roman" w:hAnsi="Times New Roman" w:cs="Times New Roman"/>
          <w:color w:val="000000" w:themeColor="text1"/>
          <w:sz w:val="24"/>
          <w:szCs w:val="24"/>
          <w:shd w:val="clear" w:color="auto" w:fill="FFFFFF"/>
        </w:rPr>
      </w:pPr>
      <w:r w:rsidRPr="00297961">
        <w:rPr>
          <w:rFonts w:ascii="Times New Roman" w:hAnsi="Times New Roman" w:cs="Times New Roman"/>
          <w:color w:val="000000" w:themeColor="text1"/>
          <w:sz w:val="24"/>
          <w:szCs w:val="24"/>
          <w:shd w:val="clear" w:color="auto" w:fill="FFFFFF"/>
        </w:rPr>
        <w:lastRenderedPageBreak/>
        <w:t>Müller, S., Mejia-Dorantes, L., &amp; Kersten, E. (2020). Analysis of active school transportation in hilly urban environments: A case study of Dresden. </w:t>
      </w:r>
      <w:r w:rsidRPr="00297961">
        <w:rPr>
          <w:rFonts w:ascii="Times New Roman" w:hAnsi="Times New Roman" w:cs="Times New Roman"/>
          <w:i/>
          <w:iCs/>
          <w:color w:val="000000" w:themeColor="text1"/>
          <w:sz w:val="24"/>
          <w:szCs w:val="24"/>
          <w:shd w:val="clear" w:color="auto" w:fill="FFFFFF"/>
        </w:rPr>
        <w:t>Journal of Transport Geography</w:t>
      </w:r>
      <w:r w:rsidRPr="00297961">
        <w:rPr>
          <w:rFonts w:ascii="Times New Roman" w:hAnsi="Times New Roman" w:cs="Times New Roman"/>
          <w:color w:val="000000" w:themeColor="text1"/>
          <w:sz w:val="24"/>
          <w:szCs w:val="24"/>
          <w:shd w:val="clear" w:color="auto" w:fill="FFFFFF"/>
        </w:rPr>
        <w:t>, </w:t>
      </w:r>
      <w:r w:rsidRPr="00297961">
        <w:rPr>
          <w:rFonts w:ascii="Times New Roman" w:hAnsi="Times New Roman" w:cs="Times New Roman"/>
          <w:i/>
          <w:iCs/>
          <w:color w:val="000000" w:themeColor="text1"/>
          <w:sz w:val="24"/>
          <w:szCs w:val="24"/>
          <w:shd w:val="clear" w:color="auto" w:fill="FFFFFF"/>
        </w:rPr>
        <w:t>88</w:t>
      </w:r>
      <w:r w:rsidRPr="00297961">
        <w:rPr>
          <w:rFonts w:ascii="Times New Roman" w:hAnsi="Times New Roman" w:cs="Times New Roman"/>
          <w:color w:val="000000" w:themeColor="text1"/>
          <w:sz w:val="24"/>
          <w:szCs w:val="24"/>
          <w:shd w:val="clear" w:color="auto" w:fill="FFFFFF"/>
        </w:rPr>
        <w:t>, 102872.</w:t>
      </w:r>
    </w:p>
    <w:p w14:paraId="7FE5636F" w14:textId="77777777" w:rsidR="00C06139" w:rsidRPr="00297961" w:rsidRDefault="00C06139" w:rsidP="00F369AF">
      <w:pPr>
        <w:spacing w:line="480" w:lineRule="auto"/>
        <w:ind w:left="720" w:hanging="720"/>
        <w:rPr>
          <w:rFonts w:ascii="Times New Roman" w:hAnsi="Times New Roman" w:cs="Times New Roman"/>
          <w:color w:val="000000" w:themeColor="text1"/>
          <w:sz w:val="24"/>
          <w:szCs w:val="24"/>
          <w:shd w:val="clear" w:color="auto" w:fill="FFFFFF"/>
        </w:rPr>
      </w:pPr>
      <w:r w:rsidRPr="00297961">
        <w:rPr>
          <w:rFonts w:ascii="Times New Roman" w:hAnsi="Times New Roman" w:cs="Times New Roman"/>
          <w:color w:val="000000" w:themeColor="text1"/>
          <w:sz w:val="24"/>
          <w:szCs w:val="24"/>
          <w:shd w:val="clear" w:color="auto" w:fill="FFFFFF"/>
        </w:rPr>
        <w:t>Odom, S. L., Cox, A., Sideris, J., Hume, K. A., Hedges, S., Kucharczyk, S., ... &amp; Neitzel, J. (2018). Assessing quality of program environments for children and youth with autism: Autism Program Environment Rating Scale (APERS). </w:t>
      </w:r>
      <w:r w:rsidRPr="00297961">
        <w:rPr>
          <w:rFonts w:ascii="Times New Roman" w:hAnsi="Times New Roman" w:cs="Times New Roman"/>
          <w:i/>
          <w:iCs/>
          <w:color w:val="000000" w:themeColor="text1"/>
          <w:sz w:val="24"/>
          <w:szCs w:val="24"/>
          <w:shd w:val="clear" w:color="auto" w:fill="FFFFFF"/>
        </w:rPr>
        <w:t>Journal of autism and developmental disorders</w:t>
      </w:r>
      <w:r w:rsidRPr="00297961">
        <w:rPr>
          <w:rFonts w:ascii="Times New Roman" w:hAnsi="Times New Roman" w:cs="Times New Roman"/>
          <w:color w:val="000000" w:themeColor="text1"/>
          <w:sz w:val="24"/>
          <w:szCs w:val="24"/>
          <w:shd w:val="clear" w:color="auto" w:fill="FFFFFF"/>
        </w:rPr>
        <w:t>, </w:t>
      </w:r>
      <w:r w:rsidRPr="00297961">
        <w:rPr>
          <w:rFonts w:ascii="Times New Roman" w:hAnsi="Times New Roman" w:cs="Times New Roman"/>
          <w:i/>
          <w:iCs/>
          <w:color w:val="000000" w:themeColor="text1"/>
          <w:sz w:val="24"/>
          <w:szCs w:val="24"/>
          <w:shd w:val="clear" w:color="auto" w:fill="FFFFFF"/>
        </w:rPr>
        <w:t>48</w:t>
      </w:r>
      <w:r w:rsidRPr="00297961">
        <w:rPr>
          <w:rFonts w:ascii="Times New Roman" w:hAnsi="Times New Roman" w:cs="Times New Roman"/>
          <w:color w:val="000000" w:themeColor="text1"/>
          <w:sz w:val="24"/>
          <w:szCs w:val="24"/>
          <w:shd w:val="clear" w:color="auto" w:fill="FFFFFF"/>
        </w:rPr>
        <w:t>(3), 913-924.</w:t>
      </w:r>
    </w:p>
    <w:p w14:paraId="1E249A94" w14:textId="77777777" w:rsidR="00C06139" w:rsidRPr="00297961" w:rsidRDefault="00C06139" w:rsidP="00F369AF">
      <w:pPr>
        <w:spacing w:line="480" w:lineRule="auto"/>
        <w:ind w:left="720" w:hanging="720"/>
        <w:rPr>
          <w:rFonts w:ascii="Times New Roman" w:hAnsi="Times New Roman" w:cs="Times New Roman"/>
          <w:color w:val="000000" w:themeColor="text1"/>
          <w:sz w:val="24"/>
          <w:szCs w:val="24"/>
        </w:rPr>
      </w:pPr>
      <w:r w:rsidRPr="00297961">
        <w:rPr>
          <w:rFonts w:ascii="Times New Roman" w:hAnsi="Times New Roman" w:cs="Times New Roman"/>
          <w:color w:val="000000" w:themeColor="text1"/>
          <w:sz w:val="24"/>
          <w:szCs w:val="24"/>
          <w:shd w:val="clear" w:color="auto" w:fill="FFFFFF"/>
        </w:rPr>
        <w:t>Powell, S. B., Engelke, M. K., &amp; Swanson, M. S. (2018). Quality of Life in School-Age Children with Obesity.</w:t>
      </w:r>
    </w:p>
    <w:p w14:paraId="7D4ADFFA" w14:textId="77777777" w:rsidR="00C06139" w:rsidRPr="00297961" w:rsidRDefault="00C06139" w:rsidP="00F369AF">
      <w:pPr>
        <w:spacing w:line="480" w:lineRule="auto"/>
        <w:ind w:left="720" w:hanging="720"/>
        <w:rPr>
          <w:rFonts w:ascii="Times New Roman" w:hAnsi="Times New Roman" w:cs="Times New Roman"/>
          <w:color w:val="000000" w:themeColor="text1"/>
          <w:sz w:val="24"/>
          <w:szCs w:val="24"/>
          <w:shd w:val="clear" w:color="auto" w:fill="FFFFFF"/>
        </w:rPr>
      </w:pPr>
      <w:r w:rsidRPr="00297961">
        <w:rPr>
          <w:rFonts w:ascii="Times New Roman" w:hAnsi="Times New Roman" w:cs="Times New Roman"/>
          <w:color w:val="000000" w:themeColor="text1"/>
          <w:sz w:val="24"/>
          <w:szCs w:val="24"/>
          <w:shd w:val="clear" w:color="auto" w:fill="FFFFFF"/>
        </w:rPr>
        <w:t>Tarun, S., Arora, M., Rawal, T., &amp; Neelon, S. E. B. (2017). An evaluation of outdoor school environments to promote physical activity in Delhi, India. </w:t>
      </w:r>
      <w:r w:rsidRPr="00297961">
        <w:rPr>
          <w:rFonts w:ascii="Times New Roman" w:hAnsi="Times New Roman" w:cs="Times New Roman"/>
          <w:i/>
          <w:iCs/>
          <w:color w:val="000000" w:themeColor="text1"/>
          <w:sz w:val="24"/>
          <w:szCs w:val="24"/>
          <w:shd w:val="clear" w:color="auto" w:fill="FFFFFF"/>
        </w:rPr>
        <w:t>BMC public health</w:t>
      </w:r>
      <w:r w:rsidRPr="00297961">
        <w:rPr>
          <w:rFonts w:ascii="Times New Roman" w:hAnsi="Times New Roman" w:cs="Times New Roman"/>
          <w:color w:val="000000" w:themeColor="text1"/>
          <w:sz w:val="24"/>
          <w:szCs w:val="24"/>
          <w:shd w:val="clear" w:color="auto" w:fill="FFFFFF"/>
        </w:rPr>
        <w:t>, </w:t>
      </w:r>
      <w:r w:rsidRPr="00297961">
        <w:rPr>
          <w:rFonts w:ascii="Times New Roman" w:hAnsi="Times New Roman" w:cs="Times New Roman"/>
          <w:i/>
          <w:iCs/>
          <w:color w:val="000000" w:themeColor="text1"/>
          <w:sz w:val="24"/>
          <w:szCs w:val="24"/>
          <w:shd w:val="clear" w:color="auto" w:fill="FFFFFF"/>
        </w:rPr>
        <w:t>17</w:t>
      </w:r>
      <w:r w:rsidRPr="00297961">
        <w:rPr>
          <w:rFonts w:ascii="Times New Roman" w:hAnsi="Times New Roman" w:cs="Times New Roman"/>
          <w:color w:val="000000" w:themeColor="text1"/>
          <w:sz w:val="24"/>
          <w:szCs w:val="24"/>
          <w:shd w:val="clear" w:color="auto" w:fill="FFFFFF"/>
        </w:rPr>
        <w:t>(1), 11.</w:t>
      </w:r>
    </w:p>
    <w:p w14:paraId="3C7F6D36" w14:textId="3AA8D2A3" w:rsidR="00C06139" w:rsidRPr="00297961" w:rsidRDefault="00C06139" w:rsidP="00F369AF">
      <w:pPr>
        <w:spacing w:line="480" w:lineRule="auto"/>
        <w:ind w:left="720" w:hanging="720"/>
        <w:rPr>
          <w:rFonts w:ascii="Times New Roman" w:hAnsi="Times New Roman" w:cs="Times New Roman"/>
          <w:color w:val="000000" w:themeColor="text1"/>
          <w:sz w:val="24"/>
          <w:szCs w:val="24"/>
          <w:shd w:val="clear" w:color="auto" w:fill="FFFFFF"/>
        </w:rPr>
      </w:pPr>
      <w:r w:rsidRPr="00297961">
        <w:rPr>
          <w:rFonts w:ascii="Times New Roman" w:hAnsi="Times New Roman" w:cs="Times New Roman"/>
          <w:color w:val="000000" w:themeColor="text1"/>
          <w:sz w:val="24"/>
          <w:szCs w:val="24"/>
          <w:shd w:val="clear" w:color="auto" w:fill="FFFFFF"/>
        </w:rPr>
        <w:t>Wang, Y., Tian, L., &amp; Huebner, E. S. (2019). Basic psychological needs satisfaction at school, behavioral school engagement, and academic achievement: Longitudinal reciprocal relations among elementary school students. </w:t>
      </w:r>
      <w:r w:rsidRPr="00297961">
        <w:rPr>
          <w:rFonts w:ascii="Times New Roman" w:hAnsi="Times New Roman" w:cs="Times New Roman"/>
          <w:i/>
          <w:iCs/>
          <w:color w:val="000000" w:themeColor="text1"/>
          <w:sz w:val="24"/>
          <w:szCs w:val="24"/>
          <w:shd w:val="clear" w:color="auto" w:fill="FFFFFF"/>
        </w:rPr>
        <w:t>Contemporary Educational Psychology</w:t>
      </w:r>
      <w:r w:rsidRPr="00297961">
        <w:rPr>
          <w:rFonts w:ascii="Times New Roman" w:hAnsi="Times New Roman" w:cs="Times New Roman"/>
          <w:color w:val="000000" w:themeColor="text1"/>
          <w:sz w:val="24"/>
          <w:szCs w:val="24"/>
          <w:shd w:val="clear" w:color="auto" w:fill="FFFFFF"/>
        </w:rPr>
        <w:t>, </w:t>
      </w:r>
      <w:r w:rsidRPr="00297961">
        <w:rPr>
          <w:rFonts w:ascii="Times New Roman" w:hAnsi="Times New Roman" w:cs="Times New Roman"/>
          <w:i/>
          <w:iCs/>
          <w:color w:val="000000" w:themeColor="text1"/>
          <w:sz w:val="24"/>
          <w:szCs w:val="24"/>
          <w:shd w:val="clear" w:color="auto" w:fill="FFFFFF"/>
        </w:rPr>
        <w:t>56</w:t>
      </w:r>
      <w:r w:rsidRPr="00297961">
        <w:rPr>
          <w:rFonts w:ascii="Times New Roman" w:hAnsi="Times New Roman" w:cs="Times New Roman"/>
          <w:color w:val="000000" w:themeColor="text1"/>
          <w:sz w:val="24"/>
          <w:szCs w:val="24"/>
          <w:shd w:val="clear" w:color="auto" w:fill="FFFFFF"/>
        </w:rPr>
        <w:t>, 130-139.</w:t>
      </w:r>
    </w:p>
    <w:p w14:paraId="79A59087" w14:textId="204FFB0E" w:rsidR="00E05421" w:rsidRPr="00297961" w:rsidRDefault="00E05421" w:rsidP="00F369AF">
      <w:pPr>
        <w:spacing w:line="480" w:lineRule="auto"/>
        <w:ind w:left="720" w:hanging="720"/>
        <w:rPr>
          <w:rFonts w:ascii="Times New Roman" w:hAnsi="Times New Roman" w:cs="Times New Roman"/>
          <w:color w:val="222222"/>
          <w:sz w:val="24"/>
          <w:szCs w:val="24"/>
          <w:shd w:val="clear" w:color="auto" w:fill="FFFFFF"/>
        </w:rPr>
      </w:pPr>
      <w:r w:rsidRPr="00297961">
        <w:rPr>
          <w:rFonts w:ascii="Times New Roman" w:hAnsi="Times New Roman" w:cs="Times New Roman"/>
          <w:color w:val="222222"/>
          <w:sz w:val="24"/>
          <w:szCs w:val="24"/>
          <w:shd w:val="clear" w:color="auto" w:fill="FFFFFF"/>
        </w:rPr>
        <w:t>Zapletal, M. (2017). The effects of occupational licensing evidence from detailed business-level data. </w:t>
      </w:r>
      <w:r w:rsidRPr="00297961">
        <w:rPr>
          <w:rFonts w:ascii="Times New Roman" w:hAnsi="Times New Roman" w:cs="Times New Roman"/>
          <w:i/>
          <w:iCs/>
          <w:color w:val="222222"/>
          <w:sz w:val="24"/>
          <w:szCs w:val="24"/>
          <w:shd w:val="clear" w:color="auto" w:fill="FFFFFF"/>
        </w:rPr>
        <w:t>US Census Bureau Center for Economic Studies Paper No. CES-WP-17-20</w:t>
      </w:r>
      <w:r w:rsidRPr="00297961">
        <w:rPr>
          <w:rFonts w:ascii="Times New Roman" w:hAnsi="Times New Roman" w:cs="Times New Roman"/>
          <w:color w:val="222222"/>
          <w:sz w:val="24"/>
          <w:szCs w:val="24"/>
          <w:shd w:val="clear" w:color="auto" w:fill="FFFFFF"/>
        </w:rPr>
        <w:t>.</w:t>
      </w:r>
    </w:p>
    <w:p w14:paraId="375EFB1D" w14:textId="77777777" w:rsidR="0070486B" w:rsidRPr="00297961" w:rsidRDefault="0070486B" w:rsidP="00F369AF">
      <w:pPr>
        <w:spacing w:line="480" w:lineRule="auto"/>
        <w:ind w:left="720" w:hanging="720"/>
        <w:rPr>
          <w:rFonts w:ascii="Times New Roman" w:hAnsi="Times New Roman" w:cs="Times New Roman"/>
          <w:color w:val="000000" w:themeColor="text1"/>
          <w:sz w:val="24"/>
          <w:szCs w:val="24"/>
          <w:shd w:val="clear" w:color="auto" w:fill="FFFFFF"/>
        </w:rPr>
      </w:pPr>
    </w:p>
    <w:sectPr w:rsidR="0070486B" w:rsidRPr="0029796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F7E66" w14:textId="77777777" w:rsidR="00EC30E0" w:rsidRDefault="00EC30E0" w:rsidP="004E3E18">
      <w:pPr>
        <w:spacing w:after="0" w:line="240" w:lineRule="auto"/>
      </w:pPr>
      <w:r>
        <w:separator/>
      </w:r>
    </w:p>
  </w:endnote>
  <w:endnote w:type="continuationSeparator" w:id="0">
    <w:p w14:paraId="77600435" w14:textId="77777777" w:rsidR="00EC30E0" w:rsidRDefault="00EC30E0" w:rsidP="004E3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8BA48E" w14:textId="77777777" w:rsidR="00EC30E0" w:rsidRDefault="00EC30E0" w:rsidP="004E3E18">
      <w:pPr>
        <w:spacing w:after="0" w:line="240" w:lineRule="auto"/>
      </w:pPr>
      <w:r>
        <w:separator/>
      </w:r>
    </w:p>
  </w:footnote>
  <w:footnote w:type="continuationSeparator" w:id="0">
    <w:p w14:paraId="3D1E0866" w14:textId="77777777" w:rsidR="00EC30E0" w:rsidRDefault="00EC30E0" w:rsidP="004E3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61ABE" w14:textId="5351AC3A" w:rsidR="004E3E18" w:rsidRPr="004E3E18" w:rsidRDefault="004E3E18">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E3E18">
      <w:rPr>
        <w:rFonts w:ascii="Times New Roman" w:hAnsi="Times New Roman" w:cs="Times New Roman"/>
        <w:sz w:val="24"/>
        <w:szCs w:val="24"/>
      </w:rPr>
      <w:fldChar w:fldCharType="begin"/>
    </w:r>
    <w:r w:rsidRPr="004E3E18">
      <w:rPr>
        <w:rFonts w:ascii="Times New Roman" w:hAnsi="Times New Roman" w:cs="Times New Roman"/>
        <w:sz w:val="24"/>
        <w:szCs w:val="24"/>
      </w:rPr>
      <w:instrText xml:space="preserve"> PAGE   \* MERGEFORMAT </w:instrText>
    </w:r>
    <w:r w:rsidRPr="004E3E18">
      <w:rPr>
        <w:rFonts w:ascii="Times New Roman" w:hAnsi="Times New Roman" w:cs="Times New Roman"/>
        <w:sz w:val="24"/>
        <w:szCs w:val="24"/>
      </w:rPr>
      <w:fldChar w:fldCharType="separate"/>
    </w:r>
    <w:r w:rsidR="00EA6B47">
      <w:rPr>
        <w:rFonts w:ascii="Times New Roman" w:hAnsi="Times New Roman" w:cs="Times New Roman"/>
        <w:noProof/>
        <w:sz w:val="24"/>
        <w:szCs w:val="24"/>
      </w:rPr>
      <w:t>10</w:t>
    </w:r>
    <w:r w:rsidRPr="004E3E18">
      <w:rPr>
        <w:rFonts w:ascii="Times New Roman" w:hAnsi="Times New Roman" w:cs="Times New Roman"/>
        <w:noProof/>
        <w:sz w:val="24"/>
        <w:szCs w:val="24"/>
      </w:rPr>
      <w:fldChar w:fldCharType="end"/>
    </w:r>
  </w:p>
  <w:p w14:paraId="369D256F" w14:textId="77777777" w:rsidR="004E3E18" w:rsidRDefault="004E3E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B6B"/>
    <w:rsid w:val="000065E6"/>
    <w:rsid w:val="000221E4"/>
    <w:rsid w:val="00041DC5"/>
    <w:rsid w:val="000D7371"/>
    <w:rsid w:val="00105052"/>
    <w:rsid w:val="001A1C27"/>
    <w:rsid w:val="001C69C1"/>
    <w:rsid w:val="00285119"/>
    <w:rsid w:val="00297961"/>
    <w:rsid w:val="002A77D6"/>
    <w:rsid w:val="00300533"/>
    <w:rsid w:val="00330FFD"/>
    <w:rsid w:val="003A7A71"/>
    <w:rsid w:val="00445ACC"/>
    <w:rsid w:val="0046627D"/>
    <w:rsid w:val="00480B2A"/>
    <w:rsid w:val="00483027"/>
    <w:rsid w:val="004A30DA"/>
    <w:rsid w:val="004E3E18"/>
    <w:rsid w:val="004E4F29"/>
    <w:rsid w:val="004F1289"/>
    <w:rsid w:val="0050128B"/>
    <w:rsid w:val="00506F08"/>
    <w:rsid w:val="005121A9"/>
    <w:rsid w:val="00535E19"/>
    <w:rsid w:val="005B2F9E"/>
    <w:rsid w:val="005E0364"/>
    <w:rsid w:val="005E78AA"/>
    <w:rsid w:val="0060614E"/>
    <w:rsid w:val="00661CDD"/>
    <w:rsid w:val="00700779"/>
    <w:rsid w:val="0070151B"/>
    <w:rsid w:val="0070486B"/>
    <w:rsid w:val="00705AED"/>
    <w:rsid w:val="00710EEB"/>
    <w:rsid w:val="00751B9D"/>
    <w:rsid w:val="00813DF3"/>
    <w:rsid w:val="009042E5"/>
    <w:rsid w:val="00963A96"/>
    <w:rsid w:val="00A578CC"/>
    <w:rsid w:val="00A955D0"/>
    <w:rsid w:val="00B1724A"/>
    <w:rsid w:val="00B5632A"/>
    <w:rsid w:val="00B77232"/>
    <w:rsid w:val="00BC67D7"/>
    <w:rsid w:val="00C06139"/>
    <w:rsid w:val="00C11F89"/>
    <w:rsid w:val="00C13ABA"/>
    <w:rsid w:val="00C50B42"/>
    <w:rsid w:val="00C527B7"/>
    <w:rsid w:val="00C65E13"/>
    <w:rsid w:val="00D91B6B"/>
    <w:rsid w:val="00DE6981"/>
    <w:rsid w:val="00DF60D3"/>
    <w:rsid w:val="00E04BD2"/>
    <w:rsid w:val="00E05421"/>
    <w:rsid w:val="00E16236"/>
    <w:rsid w:val="00E53172"/>
    <w:rsid w:val="00E617C2"/>
    <w:rsid w:val="00E75D62"/>
    <w:rsid w:val="00EA6B47"/>
    <w:rsid w:val="00EB7A50"/>
    <w:rsid w:val="00EC30E0"/>
    <w:rsid w:val="00EF3522"/>
    <w:rsid w:val="00F369AF"/>
    <w:rsid w:val="00F36B10"/>
    <w:rsid w:val="00F44AB8"/>
    <w:rsid w:val="00F50691"/>
    <w:rsid w:val="00F907A1"/>
    <w:rsid w:val="00FA0E66"/>
    <w:rsid w:val="00FB1438"/>
    <w:rsid w:val="00FE64AE"/>
    <w:rsid w:val="00FF2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2EFF3"/>
  <w15:chartTrackingRefBased/>
  <w15:docId w15:val="{E662BB53-D2B6-4443-83C5-A87BA4F6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E18"/>
  </w:style>
  <w:style w:type="paragraph" w:styleId="Footer">
    <w:name w:val="footer"/>
    <w:basedOn w:val="Normal"/>
    <w:link w:val="FooterChar"/>
    <w:uiPriority w:val="99"/>
    <w:unhideWhenUsed/>
    <w:rsid w:val="004E3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E18"/>
  </w:style>
  <w:style w:type="paragraph" w:styleId="NormalWeb">
    <w:name w:val="Normal (Web)"/>
    <w:basedOn w:val="Normal"/>
    <w:uiPriority w:val="99"/>
    <w:semiHidden/>
    <w:unhideWhenUsed/>
    <w:rsid w:val="00F369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69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81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2610</Words>
  <Characters>14880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2020-12-10T05:01:00Z</dcterms:created>
  <dcterms:modified xsi:type="dcterms:W3CDTF">2020-12-10T05:01:00Z</dcterms:modified>
</cp:coreProperties>
</file>